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526" w:rsidRDefault="00630BF8" w:rsidP="000F052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VISTO:</w:t>
      </w:r>
    </w:p>
    <w:p w:rsidR="008835D1" w:rsidRPr="000F0526" w:rsidRDefault="00DB5DB7" w:rsidP="000F0526">
      <w:pPr>
        <w:pStyle w:val="NormalWeb"/>
        <w:spacing w:before="0" w:beforeAutospacing="0" w:after="0" w:afterAutospacing="0"/>
        <w:ind w:firstLine="851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br/>
      </w:r>
      <w:r w:rsidR="000F0526">
        <w:rPr>
          <w:rFonts w:ascii="Arial" w:hAnsi="Arial" w:cs="Arial"/>
        </w:rPr>
        <w:t xml:space="preserve">            </w:t>
      </w:r>
      <w:r w:rsidR="008835D1" w:rsidRPr="00A97493">
        <w:rPr>
          <w:rFonts w:ascii="Arial" w:hAnsi="Arial" w:cs="Arial"/>
        </w:rPr>
        <w:t xml:space="preserve">El anexo elevado por </w:t>
      </w:r>
      <w:smartTag w:uri="urn:schemas-microsoft-com:office:smarttags" w:element="PersonName">
        <w:smartTagPr>
          <w:attr w:name="ProductID" w:val="la Oficina"/>
        </w:smartTagPr>
        <w:r w:rsidR="008835D1" w:rsidRPr="00A97493">
          <w:rPr>
            <w:rFonts w:ascii="Arial" w:hAnsi="Arial" w:cs="Arial"/>
          </w:rPr>
          <w:t>la Oficina</w:t>
        </w:r>
      </w:smartTag>
      <w:r w:rsidR="008835D1" w:rsidRPr="00A97493">
        <w:rPr>
          <w:rFonts w:ascii="Arial" w:hAnsi="Arial" w:cs="Arial"/>
        </w:rPr>
        <w:t xml:space="preserve"> de Bienes Físicos, referente a la situación de baja de bienes municipales; 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8835D1" w:rsidRDefault="008835D1" w:rsidP="008835D1">
      <w:pPr>
        <w:jc w:val="both"/>
        <w:rPr>
          <w:rFonts w:ascii="Arial" w:hAnsi="Arial" w:cs="Arial"/>
          <w:b/>
          <w:bCs/>
          <w:u w:val="single"/>
        </w:rPr>
      </w:pP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Que los mismos han cumplido su vida útil; </w:t>
      </w: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</w:p>
    <w:p w:rsidR="008835D1" w:rsidRPr="00A97493" w:rsidRDefault="008835D1" w:rsidP="008835D1">
      <w:pPr>
        <w:tabs>
          <w:tab w:val="left" w:pos="2280"/>
          <w:tab w:val="left" w:pos="2520"/>
        </w:tabs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Que se encuentran en estado de deterioro generalizado, con daños irreparables y/o los costos de reparación se asemejan a los de reposición; </w:t>
      </w: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</w:p>
    <w:p w:rsidR="008835D1" w:rsidRDefault="008835D1" w:rsidP="008835D1">
      <w:pPr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Que en el libro de inventario figuran como bienes fuera de servicio, obsoletos y/o vetustos; </w:t>
      </w:r>
    </w:p>
    <w:p w:rsidR="00FF25D5" w:rsidRPr="00A97493" w:rsidRDefault="00FF25D5" w:rsidP="008835D1">
      <w:pPr>
        <w:ind w:firstLine="851"/>
        <w:jc w:val="both"/>
        <w:rPr>
          <w:rFonts w:ascii="Arial" w:hAnsi="Arial" w:cs="Arial"/>
        </w:rPr>
      </w:pP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>Que se trata de automotores fuera de servicio los cuales fueron afectados por el incendio ocurrido el pasado 13 de diciembre de 2019, en el predio destinado para su acopio, (</w:t>
      </w:r>
      <w:proofErr w:type="spellStart"/>
      <w:r w:rsidRPr="00A97493">
        <w:rPr>
          <w:rFonts w:ascii="Arial" w:hAnsi="Arial" w:cs="Arial"/>
        </w:rPr>
        <w:t>Circ</w:t>
      </w:r>
      <w:proofErr w:type="spellEnd"/>
      <w:r w:rsidRPr="00A97493">
        <w:rPr>
          <w:rFonts w:ascii="Arial" w:hAnsi="Arial" w:cs="Arial"/>
        </w:rPr>
        <w:t xml:space="preserve">. 1, Sec. A, Frac. 2, </w:t>
      </w:r>
      <w:proofErr w:type="spellStart"/>
      <w:r w:rsidRPr="00A97493">
        <w:rPr>
          <w:rFonts w:ascii="Arial" w:hAnsi="Arial" w:cs="Arial"/>
        </w:rPr>
        <w:t>Parc</w:t>
      </w:r>
      <w:proofErr w:type="spellEnd"/>
      <w:r w:rsidRPr="00A97493">
        <w:rPr>
          <w:rFonts w:ascii="Arial" w:hAnsi="Arial" w:cs="Arial"/>
        </w:rPr>
        <w:t xml:space="preserve">. 5); </w:t>
      </w: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Que por el estado de los mismos ya no son de utilidad para las distintas áreas municipales; </w:t>
      </w:r>
    </w:p>
    <w:p w:rsidR="008835D1" w:rsidRPr="00A97493" w:rsidRDefault="008835D1" w:rsidP="008835D1">
      <w:pPr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                </w:t>
      </w:r>
    </w:p>
    <w:p w:rsidR="008835D1" w:rsidRPr="00A97493" w:rsidRDefault="008835D1" w:rsidP="008835D1">
      <w:pPr>
        <w:tabs>
          <w:tab w:val="left" w:pos="2400"/>
        </w:tabs>
        <w:ind w:firstLine="851"/>
        <w:jc w:val="both"/>
        <w:rPr>
          <w:rFonts w:ascii="Arial" w:hAnsi="Arial" w:cs="Arial"/>
        </w:rPr>
      </w:pPr>
      <w:r w:rsidRPr="00A97493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Ley Org￡nica"/>
        </w:smartTagPr>
        <w:r w:rsidRPr="00A97493">
          <w:rPr>
            <w:rFonts w:ascii="Arial" w:hAnsi="Arial" w:cs="Arial"/>
          </w:rPr>
          <w:t>la Ley Orgánica</w:t>
        </w:r>
      </w:smartTag>
      <w:r w:rsidRPr="00A97493">
        <w:rPr>
          <w:rFonts w:ascii="Arial" w:hAnsi="Arial" w:cs="Arial"/>
        </w:rPr>
        <w:t xml:space="preserve"> de las Municipalidades prevé este tipo de acto para la baja de bienes en el artículo 168; </w:t>
      </w:r>
    </w:p>
    <w:p w:rsidR="008835D1" w:rsidRPr="00A97493" w:rsidRDefault="008835D1" w:rsidP="008835D1">
      <w:pPr>
        <w:jc w:val="both"/>
        <w:rPr>
          <w:rFonts w:ascii="Arial" w:hAnsi="Arial" w:cs="Arial"/>
        </w:rPr>
      </w:pP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F46A26">
        <w:rPr>
          <w:rFonts w:ascii="Arial" w:hAnsi="Arial" w:cs="Arial"/>
          <w:b/>
          <w:u w:val="single"/>
        </w:rPr>
        <w:t>14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835D1" w:rsidRPr="00A97493" w:rsidRDefault="008835D1" w:rsidP="008835D1">
      <w:pPr>
        <w:jc w:val="both"/>
        <w:rPr>
          <w:rFonts w:ascii="Arial" w:hAnsi="Arial" w:cs="Arial"/>
        </w:rPr>
      </w:pPr>
      <w:r w:rsidRPr="00A97493">
        <w:rPr>
          <w:rFonts w:ascii="Arial" w:hAnsi="Arial" w:cs="Arial"/>
          <w:b/>
          <w:u w:val="single"/>
        </w:rPr>
        <w:t>ARTÍCULO 1º:</w:t>
      </w:r>
      <w:r w:rsidRPr="00A97493">
        <w:rPr>
          <w:rFonts w:ascii="Arial" w:hAnsi="Arial" w:cs="Arial"/>
        </w:rPr>
        <w:t xml:space="preserve"> Autorizase al Departamento Ejecutivo a realizar la baja de los  bienes muebles que figuran en el Anexo I, el cual pasará a formar parte integrante de la presente Ordenanza.-</w:t>
      </w:r>
    </w:p>
    <w:p w:rsidR="008835D1" w:rsidRPr="00A97493" w:rsidRDefault="008835D1" w:rsidP="008835D1">
      <w:pPr>
        <w:jc w:val="both"/>
        <w:rPr>
          <w:rFonts w:ascii="Arial" w:hAnsi="Arial" w:cs="Arial"/>
        </w:rPr>
      </w:pPr>
    </w:p>
    <w:p w:rsidR="008835D1" w:rsidRPr="00A97493" w:rsidRDefault="008835D1" w:rsidP="008835D1">
      <w:pPr>
        <w:jc w:val="both"/>
        <w:rPr>
          <w:rFonts w:ascii="Arial" w:hAnsi="Arial" w:cs="Arial"/>
        </w:rPr>
      </w:pPr>
      <w:r w:rsidRPr="00A97493">
        <w:rPr>
          <w:rFonts w:ascii="Arial" w:hAnsi="Arial" w:cs="Arial"/>
          <w:b/>
          <w:u w:val="single"/>
        </w:rPr>
        <w:t>ARTICULO 2º:</w:t>
      </w:r>
      <w:r w:rsidRPr="00A97493">
        <w:rPr>
          <w:rFonts w:ascii="Arial" w:hAnsi="Arial" w:cs="Arial"/>
        </w:rPr>
        <w:t xml:space="preserve"> Autorizase a </w:t>
      </w:r>
      <w:smartTag w:uri="urn:schemas-microsoft-com:office:smarttags" w:element="PersonName">
        <w:smartTagPr>
          <w:attr w:name="ProductID" w:val="la Oficina"/>
        </w:smartTagPr>
        <w:r w:rsidRPr="00A97493">
          <w:rPr>
            <w:rFonts w:ascii="Arial" w:hAnsi="Arial" w:cs="Arial"/>
          </w:rPr>
          <w:t>la Oficina</w:t>
        </w:r>
      </w:smartTag>
      <w:r w:rsidRPr="00A97493">
        <w:rPr>
          <w:rFonts w:ascii="Arial" w:hAnsi="Arial" w:cs="Arial"/>
        </w:rPr>
        <w:t xml:space="preserve"> de Bienes Físicos a proceder con la baja  definitiva del libro de inventarios los bienes mencionados en el Anexo I.-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F46A26">
        <w:rPr>
          <w:rFonts w:ascii="Arial" w:hAnsi="Arial" w:cs="Arial"/>
          <w:b/>
          <w:bCs/>
          <w:lang w:val="es-AR"/>
        </w:rPr>
        <w:t>VEINTIDOS</w:t>
      </w:r>
      <w:r w:rsidR="003D5F87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 w:rsidR="00F46A26">
        <w:rPr>
          <w:rFonts w:ascii="Arial" w:hAnsi="Arial" w:cs="Arial"/>
          <w:b/>
          <w:bCs/>
        </w:rPr>
        <w:t>ABRIL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3C9" w:rsidRDefault="008253C9">
      <w:r>
        <w:separator/>
      </w:r>
    </w:p>
  </w:endnote>
  <w:endnote w:type="continuationSeparator" w:id="0">
    <w:p w:rsidR="008253C9" w:rsidRDefault="0082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3C9" w:rsidRDefault="008253C9">
      <w:r>
        <w:separator/>
      </w:r>
    </w:p>
  </w:footnote>
  <w:footnote w:type="continuationSeparator" w:id="0">
    <w:p w:rsidR="008253C9" w:rsidRDefault="0082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A83AD1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0526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6F48"/>
    <w:rsid w:val="00297E57"/>
    <w:rsid w:val="002A7E20"/>
    <w:rsid w:val="002B31A1"/>
    <w:rsid w:val="002C54A4"/>
    <w:rsid w:val="002F4D1D"/>
    <w:rsid w:val="00300128"/>
    <w:rsid w:val="00302BBF"/>
    <w:rsid w:val="00350767"/>
    <w:rsid w:val="00364100"/>
    <w:rsid w:val="0037098D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53C9"/>
    <w:rsid w:val="00826263"/>
    <w:rsid w:val="00835166"/>
    <w:rsid w:val="00880C34"/>
    <w:rsid w:val="008835D1"/>
    <w:rsid w:val="008947AC"/>
    <w:rsid w:val="008A3229"/>
    <w:rsid w:val="008E0817"/>
    <w:rsid w:val="00902D6F"/>
    <w:rsid w:val="0091530D"/>
    <w:rsid w:val="009177A7"/>
    <w:rsid w:val="00924F7A"/>
    <w:rsid w:val="009260E3"/>
    <w:rsid w:val="009D3323"/>
    <w:rsid w:val="009E75D0"/>
    <w:rsid w:val="009F5884"/>
    <w:rsid w:val="00A83AD1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4172D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01E9"/>
    <w:rsid w:val="00F43B13"/>
    <w:rsid w:val="00F46A26"/>
    <w:rsid w:val="00F66FDF"/>
    <w:rsid w:val="00F935AA"/>
    <w:rsid w:val="00FA5971"/>
    <w:rsid w:val="00FC77D9"/>
    <w:rsid w:val="00FE49CC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3EC48D-BB34-45F4-AD4A-6C9C5F2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2020-03-04T15:45:00Z</cp:lastPrinted>
  <dcterms:created xsi:type="dcterms:W3CDTF">2021-05-10T17:48:00Z</dcterms:created>
  <dcterms:modified xsi:type="dcterms:W3CDTF">2021-05-10T17:48:00Z</dcterms:modified>
</cp:coreProperties>
</file>