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714B98" w:rsidRDefault="00630BF8" w:rsidP="005D61C9">
      <w:pPr>
        <w:pStyle w:val="NormalWeb"/>
        <w:spacing w:before="0" w:beforeAutospacing="0" w:after="0" w:afterAutospacing="0"/>
        <w:rPr>
          <w:rFonts w:ascii="Arial" w:hAnsi="Arial" w:cs="Arial"/>
          <w:sz w:val="16"/>
          <w:szCs w:val="16"/>
        </w:rPr>
      </w:pPr>
      <w:r w:rsidRPr="00D350A1">
        <w:rPr>
          <w:rFonts w:ascii="Arial" w:hAnsi="Arial" w:cs="Arial"/>
          <w:b/>
          <w:bCs/>
          <w:u w:val="single"/>
        </w:rPr>
        <w:t>VISTO:</w:t>
      </w:r>
      <w:r w:rsidR="00DB5DB7" w:rsidRPr="00D350A1">
        <w:rPr>
          <w:rFonts w:ascii="Arial" w:hAnsi="Arial" w:cs="Arial"/>
          <w:b/>
          <w:bCs/>
          <w:u w:val="single"/>
        </w:rPr>
        <w:br/>
      </w:r>
    </w:p>
    <w:p w:rsidR="008730E9" w:rsidRPr="00714B98" w:rsidRDefault="007811C0" w:rsidP="007811C0">
      <w:pPr>
        <w:pStyle w:val="Sangra2detindependiente"/>
        <w:spacing w:before="0" w:beforeAutospacing="0" w:after="0" w:afterAutospacing="0"/>
        <w:ind w:firstLine="851"/>
        <w:rPr>
          <w:rFonts w:ascii="Arial" w:hAnsi="Arial" w:cs="Arial"/>
          <w:b/>
          <w:bCs/>
          <w:sz w:val="22"/>
          <w:szCs w:val="22"/>
          <w:u w:val="single"/>
        </w:rPr>
      </w:pPr>
      <w:r w:rsidRPr="00714B98">
        <w:rPr>
          <w:rFonts w:ascii="Arial" w:hAnsi="Arial" w:cs="Arial"/>
          <w:sz w:val="22"/>
          <w:szCs w:val="22"/>
          <w:lang w:val="es-AR"/>
        </w:rPr>
        <w:t xml:space="preserve">La </w:t>
      </w:r>
      <w:r w:rsidRPr="00714B98">
        <w:rPr>
          <w:rFonts w:ascii="Arial" w:hAnsi="Arial" w:cs="Arial"/>
          <w:sz w:val="22"/>
          <w:szCs w:val="22"/>
        </w:rPr>
        <w:t xml:space="preserve">necesidad de incentivar la regularización y los pagos de las deudas que los contribuyentes mantienen con la Municipalidad, </w:t>
      </w:r>
      <w:r w:rsidR="008730E9" w:rsidRPr="00714B98">
        <w:rPr>
          <w:rFonts w:ascii="Arial" w:hAnsi="Arial" w:cs="Arial"/>
          <w:sz w:val="22"/>
          <w:szCs w:val="22"/>
        </w:rPr>
        <w:t>y;</w:t>
      </w:r>
    </w:p>
    <w:p w:rsidR="008730E9" w:rsidRPr="00714B98" w:rsidRDefault="008730E9" w:rsidP="008730E9">
      <w:pPr>
        <w:pStyle w:val="NormalWeb"/>
        <w:spacing w:before="0" w:beforeAutospacing="0" w:after="0" w:afterAutospacing="0"/>
        <w:jc w:val="both"/>
        <w:rPr>
          <w:rFonts w:ascii="Arial" w:hAnsi="Arial" w:cs="Arial"/>
          <w:b/>
          <w:bCs/>
          <w:sz w:val="16"/>
          <w:szCs w:val="16"/>
          <w:u w:val="single"/>
        </w:rPr>
      </w:pPr>
    </w:p>
    <w:p w:rsidR="00441883" w:rsidRPr="00D350A1" w:rsidRDefault="00630BF8" w:rsidP="005D61C9">
      <w:pPr>
        <w:pStyle w:val="NormalWeb"/>
        <w:spacing w:before="0" w:beforeAutospacing="0" w:after="0" w:afterAutospacing="0"/>
        <w:jc w:val="both"/>
        <w:rPr>
          <w:rFonts w:ascii="Arial" w:hAnsi="Arial" w:cs="Arial"/>
          <w:b/>
          <w:bCs/>
          <w:u w:val="single"/>
        </w:rPr>
      </w:pPr>
      <w:r w:rsidRPr="00D350A1">
        <w:rPr>
          <w:rFonts w:ascii="Arial" w:hAnsi="Arial" w:cs="Arial"/>
          <w:b/>
          <w:bCs/>
          <w:u w:val="single"/>
        </w:rPr>
        <w:t>CONSIDERANDO:</w:t>
      </w:r>
    </w:p>
    <w:p w:rsidR="00441883" w:rsidRPr="00714B98" w:rsidRDefault="00441883" w:rsidP="005D61C9">
      <w:pPr>
        <w:pStyle w:val="NormalWeb"/>
        <w:spacing w:before="0" w:beforeAutospacing="0" w:after="0" w:afterAutospacing="0"/>
        <w:jc w:val="both"/>
        <w:rPr>
          <w:rFonts w:ascii="Arial" w:hAnsi="Arial" w:cs="Arial"/>
          <w:b/>
          <w:bCs/>
          <w:sz w:val="16"/>
          <w:szCs w:val="16"/>
          <w:u w:val="single"/>
        </w:rPr>
      </w:pPr>
    </w:p>
    <w:p w:rsidR="007811C0" w:rsidRPr="00714B98" w:rsidRDefault="007811C0" w:rsidP="007811C0">
      <w:pPr>
        <w:pStyle w:val="Sangra2detindependiente"/>
        <w:tabs>
          <w:tab w:val="left" w:pos="0"/>
        </w:tabs>
        <w:spacing w:before="0" w:beforeAutospacing="0" w:after="0" w:afterAutospacing="0"/>
        <w:ind w:firstLine="851"/>
        <w:jc w:val="both"/>
        <w:rPr>
          <w:rFonts w:ascii="Arial" w:hAnsi="Arial" w:cs="Arial"/>
          <w:sz w:val="22"/>
          <w:szCs w:val="22"/>
        </w:rPr>
      </w:pPr>
      <w:r w:rsidRPr="00714B98">
        <w:rPr>
          <w:rFonts w:ascii="Arial" w:hAnsi="Arial" w:cs="Arial"/>
          <w:sz w:val="22"/>
          <w:szCs w:val="22"/>
        </w:rPr>
        <w:t xml:space="preserve">Que es conveniente prever un incentivo para obtener un resultado más significativo en la recaudación de las deudas exigibles; </w:t>
      </w:r>
    </w:p>
    <w:p w:rsidR="007811C0" w:rsidRPr="00714B98" w:rsidRDefault="007811C0" w:rsidP="007811C0">
      <w:pPr>
        <w:pStyle w:val="Sangra2detindependiente"/>
        <w:tabs>
          <w:tab w:val="left" w:pos="0"/>
        </w:tabs>
        <w:spacing w:before="0" w:beforeAutospacing="0" w:after="0" w:afterAutospacing="0"/>
        <w:ind w:firstLine="851"/>
        <w:jc w:val="both"/>
        <w:rPr>
          <w:rFonts w:ascii="Arial" w:hAnsi="Arial" w:cs="Arial"/>
          <w:sz w:val="22"/>
          <w:szCs w:val="22"/>
        </w:rPr>
      </w:pPr>
      <w:r w:rsidRPr="00714B98">
        <w:rPr>
          <w:rFonts w:ascii="Arial" w:hAnsi="Arial" w:cs="Arial"/>
          <w:sz w:val="22"/>
          <w:szCs w:val="22"/>
        </w:rPr>
        <w:t>Que es pública y notoria la situación por la que están atravesando los contribuyentes del Distrito;</w:t>
      </w:r>
    </w:p>
    <w:p w:rsidR="008730E9" w:rsidRPr="00714B98" w:rsidRDefault="008730E9" w:rsidP="008730E9">
      <w:pPr>
        <w:jc w:val="both"/>
        <w:rPr>
          <w:rFonts w:ascii="Arial" w:hAnsi="Arial" w:cs="Arial"/>
          <w:sz w:val="16"/>
          <w:szCs w:val="16"/>
        </w:rPr>
      </w:pPr>
      <w:r>
        <w:rPr>
          <w:rFonts w:ascii="Arial" w:hAnsi="Arial" w:cs="Arial"/>
          <w:b/>
          <w:bCs/>
        </w:rPr>
        <w:t xml:space="preserve"> </w:t>
      </w:r>
    </w:p>
    <w:p w:rsidR="009177A7" w:rsidRPr="00D350A1" w:rsidRDefault="005D61C9" w:rsidP="005D61C9">
      <w:pPr>
        <w:jc w:val="both"/>
        <w:rPr>
          <w:rFonts w:ascii="Arial" w:hAnsi="Arial" w:cs="Arial"/>
          <w:b/>
          <w:u w:val="single"/>
        </w:rPr>
      </w:pPr>
      <w:r w:rsidRPr="00D350A1">
        <w:rPr>
          <w:rFonts w:ascii="Arial" w:hAnsi="Arial" w:cs="Arial"/>
          <w:b/>
          <w:u w:val="single"/>
        </w:rPr>
        <w:t>POR ELLO:</w:t>
      </w:r>
    </w:p>
    <w:p w:rsidR="008730E9" w:rsidRPr="00714B98" w:rsidRDefault="008730E9" w:rsidP="005D61C9">
      <w:pPr>
        <w:jc w:val="center"/>
        <w:rPr>
          <w:rFonts w:ascii="Arial" w:hAnsi="Arial" w:cs="Arial"/>
          <w:b/>
          <w:bCs/>
          <w:sz w:val="16"/>
          <w:szCs w:val="16"/>
        </w:rPr>
      </w:pPr>
    </w:p>
    <w:p w:rsidR="009177A7" w:rsidRPr="00D350A1" w:rsidRDefault="00297E57" w:rsidP="005D61C9">
      <w:pPr>
        <w:jc w:val="center"/>
        <w:rPr>
          <w:rFonts w:ascii="Arial" w:hAnsi="Arial" w:cs="Arial"/>
          <w:b/>
          <w:bCs/>
        </w:rPr>
      </w:pPr>
      <w:r w:rsidRPr="00D350A1">
        <w:rPr>
          <w:rFonts w:ascii="Arial" w:hAnsi="Arial" w:cs="Arial"/>
          <w:b/>
          <w:bCs/>
        </w:rPr>
        <w:t>EL</w:t>
      </w:r>
      <w:r w:rsidR="009177A7" w:rsidRPr="00D350A1">
        <w:rPr>
          <w:rFonts w:ascii="Arial" w:hAnsi="Arial" w:cs="Arial"/>
          <w:b/>
          <w:bCs/>
        </w:rPr>
        <w:t xml:space="preserve"> </w:t>
      </w:r>
      <w:r w:rsidR="005D61C9" w:rsidRPr="00D350A1">
        <w:rPr>
          <w:rFonts w:ascii="Arial" w:hAnsi="Arial" w:cs="Arial"/>
          <w:b/>
          <w:bCs/>
        </w:rPr>
        <w:t>HONORABLE CONCEJO DELIBERANTE</w:t>
      </w:r>
    </w:p>
    <w:p w:rsidR="00097F44" w:rsidRPr="00D350A1" w:rsidRDefault="005D61C9" w:rsidP="005D61C9">
      <w:pPr>
        <w:jc w:val="center"/>
        <w:rPr>
          <w:rFonts w:ascii="Arial" w:hAnsi="Arial" w:cs="Arial"/>
          <w:b/>
        </w:rPr>
      </w:pPr>
      <w:r w:rsidRPr="00D350A1">
        <w:rPr>
          <w:rFonts w:ascii="Arial" w:hAnsi="Arial" w:cs="Arial"/>
          <w:b/>
          <w:bCs/>
        </w:rPr>
        <w:t>En uso de sus facultades, sanciona con fuerza de</w:t>
      </w:r>
    </w:p>
    <w:p w:rsidR="00097F44" w:rsidRPr="00D350A1" w:rsidRDefault="00097F44" w:rsidP="008730E9">
      <w:pPr>
        <w:jc w:val="center"/>
        <w:rPr>
          <w:rFonts w:ascii="Arial" w:hAnsi="Arial" w:cs="Arial"/>
          <w:b/>
          <w:u w:val="single"/>
        </w:rPr>
      </w:pPr>
      <w:r w:rsidRPr="00D350A1">
        <w:rPr>
          <w:rFonts w:ascii="Arial" w:hAnsi="Arial" w:cs="Arial"/>
          <w:b/>
          <w:u w:val="single"/>
        </w:rPr>
        <w:t>ORDENANZA</w:t>
      </w:r>
      <w:r w:rsidR="005D61C9" w:rsidRPr="00D350A1">
        <w:rPr>
          <w:rFonts w:ascii="Arial" w:hAnsi="Arial" w:cs="Arial"/>
          <w:b/>
          <w:u w:val="single"/>
        </w:rPr>
        <w:t xml:space="preserve"> Nº 32</w:t>
      </w:r>
      <w:r w:rsidR="0066243B">
        <w:rPr>
          <w:rFonts w:ascii="Arial" w:hAnsi="Arial" w:cs="Arial"/>
          <w:b/>
          <w:u w:val="single"/>
        </w:rPr>
        <w:t>3</w:t>
      </w:r>
      <w:r w:rsidR="00EC5F93">
        <w:rPr>
          <w:rFonts w:ascii="Arial" w:hAnsi="Arial" w:cs="Arial"/>
          <w:b/>
          <w:u w:val="single"/>
        </w:rPr>
        <w:t>4</w:t>
      </w:r>
      <w:r w:rsidR="005D61C9" w:rsidRPr="00D350A1">
        <w:rPr>
          <w:rFonts w:ascii="Arial" w:hAnsi="Arial" w:cs="Arial"/>
          <w:b/>
          <w:u w:val="single"/>
        </w:rPr>
        <w:t>/20</w:t>
      </w:r>
    </w:p>
    <w:p w:rsidR="005D61C9" w:rsidRPr="00714B98" w:rsidRDefault="005D61C9" w:rsidP="008730E9">
      <w:pPr>
        <w:pStyle w:val="NormalWeb"/>
        <w:spacing w:before="0" w:beforeAutospacing="0" w:after="0" w:afterAutospacing="0"/>
        <w:jc w:val="both"/>
        <w:rPr>
          <w:rFonts w:ascii="Arial" w:hAnsi="Arial" w:cs="Arial"/>
          <w:b/>
          <w:bCs/>
          <w:sz w:val="16"/>
          <w:szCs w:val="16"/>
          <w:u w:val="single"/>
        </w:rPr>
      </w:pPr>
    </w:p>
    <w:p w:rsidR="007811C0" w:rsidRPr="00714B98" w:rsidRDefault="0066243B" w:rsidP="007811C0">
      <w:pPr>
        <w:tabs>
          <w:tab w:val="left" w:pos="1985"/>
        </w:tabs>
        <w:jc w:val="both"/>
        <w:rPr>
          <w:rFonts w:ascii="Arial" w:hAnsi="Arial" w:cs="Arial"/>
          <w:sz w:val="22"/>
          <w:szCs w:val="22"/>
        </w:rPr>
      </w:pPr>
      <w:r w:rsidRPr="00714B98">
        <w:rPr>
          <w:rFonts w:ascii="Arial" w:hAnsi="Arial" w:cs="Arial"/>
          <w:b/>
          <w:bCs/>
          <w:sz w:val="22"/>
          <w:szCs w:val="22"/>
          <w:u w:val="single"/>
        </w:rPr>
        <w:t>ARTÍCULO 1º</w:t>
      </w:r>
      <w:r w:rsidR="00103295" w:rsidRPr="00714B98">
        <w:rPr>
          <w:rFonts w:ascii="Arial" w:hAnsi="Arial" w:cs="Arial"/>
          <w:b/>
          <w:bCs/>
          <w:sz w:val="22"/>
          <w:szCs w:val="22"/>
          <w:u w:val="single"/>
        </w:rPr>
        <w:t>:</w:t>
      </w:r>
      <w:r w:rsidR="008730E9" w:rsidRPr="00714B98">
        <w:rPr>
          <w:rFonts w:ascii="Arial" w:hAnsi="Arial" w:cs="Arial"/>
          <w:sz w:val="22"/>
          <w:szCs w:val="22"/>
        </w:rPr>
        <w:t xml:space="preserve"> </w:t>
      </w:r>
      <w:r w:rsidR="007811C0" w:rsidRPr="00714B98">
        <w:rPr>
          <w:rFonts w:ascii="Arial" w:hAnsi="Arial" w:cs="Arial"/>
          <w:sz w:val="22"/>
          <w:szCs w:val="22"/>
        </w:rPr>
        <w:t xml:space="preserve">Establézcase un régimen de regularización y facilidades de pago  para los contribuyentes  y  responsables de cualquier tasa Municipal, contribución por mejoras, FO.ME.PRO. y al Impuesto a los Automotores, por obligaciones vencidas a la fecha de presentación, correspondientes a tributos determinados o no, recurridos </w:t>
      </w:r>
      <w:r w:rsidR="00D365EE">
        <w:rPr>
          <w:rFonts w:ascii="Arial" w:hAnsi="Arial" w:cs="Arial"/>
          <w:sz w:val="22"/>
          <w:szCs w:val="22"/>
        </w:rPr>
        <w:t>o</w:t>
      </w:r>
      <w:r w:rsidR="007811C0" w:rsidRPr="00714B98">
        <w:rPr>
          <w:rFonts w:ascii="Arial" w:hAnsi="Arial" w:cs="Arial"/>
          <w:sz w:val="22"/>
          <w:szCs w:val="22"/>
        </w:rPr>
        <w:t xml:space="preserve"> en estado de ejecución, que se presenten a regularizar su situación fiscal, en las condiciones previstas en esta Ordenanza, que regirá desde la fecha de promulgación de la presente norma hasta el día 30 de septiembre de 2020 inclusive.-</w:t>
      </w:r>
    </w:p>
    <w:p w:rsidR="007811C0" w:rsidRPr="00714B98" w:rsidRDefault="007811C0" w:rsidP="007811C0">
      <w:pPr>
        <w:tabs>
          <w:tab w:val="left" w:pos="1985"/>
        </w:tabs>
        <w:jc w:val="both"/>
        <w:rPr>
          <w:rFonts w:ascii="Arial" w:hAnsi="Arial" w:cs="Arial"/>
          <w:b/>
          <w:sz w:val="22"/>
          <w:szCs w:val="22"/>
          <w:u w:val="single"/>
        </w:rPr>
      </w:pPr>
    </w:p>
    <w:p w:rsidR="007811C0" w:rsidRPr="00714B98" w:rsidRDefault="007811C0" w:rsidP="007811C0">
      <w:pPr>
        <w:tabs>
          <w:tab w:val="left" w:pos="1985"/>
        </w:tabs>
        <w:jc w:val="both"/>
        <w:rPr>
          <w:rFonts w:ascii="Arial" w:hAnsi="Arial" w:cs="Arial"/>
          <w:sz w:val="22"/>
          <w:szCs w:val="22"/>
        </w:rPr>
      </w:pPr>
      <w:r w:rsidRPr="00714B98">
        <w:rPr>
          <w:rFonts w:ascii="Arial" w:hAnsi="Arial" w:cs="Arial"/>
          <w:b/>
          <w:sz w:val="22"/>
          <w:szCs w:val="22"/>
          <w:u w:val="single"/>
        </w:rPr>
        <w:t>ARTÍCULO 2º:</w:t>
      </w:r>
      <w:r w:rsidRPr="00714B98">
        <w:rPr>
          <w:rFonts w:ascii="Arial" w:hAnsi="Arial" w:cs="Arial"/>
          <w:sz w:val="22"/>
          <w:szCs w:val="22"/>
        </w:rPr>
        <w:t xml:space="preserve"> La incorporación a los beneficios de la presente Ordenanza será a   petición del contribuyente. La deuda por cada uno de los tributos por los que se solicite regularización en los términos de la presente Ordenanza, deberá cancelarse en algunas de las siguientes formas:</w:t>
      </w:r>
    </w:p>
    <w:p w:rsidR="007811C0" w:rsidRPr="00714B98" w:rsidRDefault="007811C0" w:rsidP="007811C0">
      <w:pPr>
        <w:pStyle w:val="Textoindependiente"/>
        <w:numPr>
          <w:ilvl w:val="0"/>
          <w:numId w:val="1"/>
        </w:numPr>
        <w:spacing w:after="0"/>
        <w:jc w:val="both"/>
        <w:rPr>
          <w:rFonts w:ascii="Arial" w:hAnsi="Arial" w:cs="Arial"/>
          <w:sz w:val="22"/>
          <w:szCs w:val="22"/>
          <w:lang w:val="es-AR"/>
        </w:rPr>
      </w:pPr>
      <w:r w:rsidRPr="00714B98">
        <w:rPr>
          <w:rFonts w:ascii="Arial" w:hAnsi="Arial" w:cs="Arial"/>
          <w:b/>
          <w:sz w:val="22"/>
          <w:szCs w:val="22"/>
        </w:rPr>
        <w:t xml:space="preserve">Pago al Contado, </w:t>
      </w:r>
      <w:r w:rsidRPr="00714B98">
        <w:rPr>
          <w:rFonts w:ascii="Arial" w:hAnsi="Arial" w:cs="Arial"/>
          <w:sz w:val="22"/>
          <w:szCs w:val="22"/>
          <w:lang w:val="es-AR"/>
        </w:rPr>
        <w:t>se realizará un descuento en el importe de los intereses devengados igual al cincuenta por ciento (50%) de los mismos.</w:t>
      </w:r>
    </w:p>
    <w:p w:rsidR="007811C0" w:rsidRPr="00714B98" w:rsidRDefault="007811C0" w:rsidP="007811C0">
      <w:pPr>
        <w:pStyle w:val="Textoindependiente"/>
        <w:spacing w:after="0"/>
        <w:ind w:left="528"/>
        <w:jc w:val="both"/>
        <w:rPr>
          <w:rFonts w:ascii="Arial" w:hAnsi="Arial" w:cs="Arial"/>
          <w:sz w:val="22"/>
          <w:szCs w:val="22"/>
          <w:lang w:val="es-AR"/>
        </w:rPr>
      </w:pPr>
      <w:r w:rsidRPr="00714B98">
        <w:rPr>
          <w:rFonts w:ascii="Arial" w:hAnsi="Arial" w:cs="Arial"/>
          <w:sz w:val="22"/>
          <w:szCs w:val="22"/>
          <w:lang w:val="es-AR"/>
        </w:rPr>
        <w:t>En el caso de que se cancele la totalidad de la deuda, el descuento en el importe de los intereses devengados será igual al noventa por ciento (90%) de los mismos.</w:t>
      </w:r>
    </w:p>
    <w:p w:rsidR="008D5167" w:rsidRPr="00714B98" w:rsidRDefault="007811C0" w:rsidP="008D5167">
      <w:pPr>
        <w:pStyle w:val="Textoindependiente"/>
        <w:numPr>
          <w:ilvl w:val="0"/>
          <w:numId w:val="1"/>
        </w:numPr>
        <w:spacing w:after="0"/>
        <w:jc w:val="both"/>
        <w:rPr>
          <w:rFonts w:ascii="Arial" w:hAnsi="Arial" w:cs="Arial"/>
          <w:sz w:val="22"/>
          <w:szCs w:val="22"/>
        </w:rPr>
      </w:pPr>
      <w:r w:rsidRPr="00714B98">
        <w:rPr>
          <w:rFonts w:ascii="Arial" w:hAnsi="Arial" w:cs="Arial"/>
          <w:b/>
          <w:sz w:val="22"/>
          <w:szCs w:val="22"/>
          <w:lang w:val="es-AR"/>
        </w:rPr>
        <w:t>Hasta en tres (3) cuotas mensuales y consecutivas</w:t>
      </w:r>
      <w:r w:rsidRPr="00714B98">
        <w:rPr>
          <w:rFonts w:ascii="Arial" w:hAnsi="Arial" w:cs="Arial"/>
          <w:sz w:val="22"/>
          <w:szCs w:val="22"/>
          <w:lang w:val="es-AR"/>
        </w:rPr>
        <w:t>, se realizará un descuento en el importe de los intereses devengados igual al cincuenta por ciento (50%) de los mismos.</w:t>
      </w:r>
      <w:r w:rsidRPr="00714B98">
        <w:rPr>
          <w:rFonts w:ascii="Arial" w:hAnsi="Arial" w:cs="Arial"/>
          <w:sz w:val="22"/>
          <w:szCs w:val="22"/>
        </w:rPr>
        <w:t xml:space="preserve">                                                                       </w:t>
      </w:r>
    </w:p>
    <w:p w:rsidR="008D5167" w:rsidRPr="00714B98" w:rsidRDefault="007811C0" w:rsidP="008D5167">
      <w:pPr>
        <w:pStyle w:val="Textoindependiente"/>
        <w:spacing w:after="0"/>
        <w:ind w:left="528"/>
        <w:jc w:val="both"/>
        <w:rPr>
          <w:rFonts w:ascii="Arial" w:hAnsi="Arial" w:cs="Arial"/>
          <w:sz w:val="22"/>
          <w:szCs w:val="22"/>
        </w:rPr>
      </w:pPr>
      <w:r w:rsidRPr="00714B98">
        <w:rPr>
          <w:rFonts w:ascii="Arial" w:hAnsi="Arial" w:cs="Arial"/>
          <w:sz w:val="22"/>
          <w:szCs w:val="22"/>
        </w:rPr>
        <w:t>Las cuotas devengaran el interés vigente para planes de facilidades de pago.</w:t>
      </w:r>
      <w:r w:rsidRPr="00714B98">
        <w:rPr>
          <w:rFonts w:ascii="Arial" w:hAnsi="Arial" w:cs="Arial"/>
          <w:sz w:val="22"/>
          <w:szCs w:val="22"/>
          <w:lang w:val="es-AR"/>
        </w:rPr>
        <w:t xml:space="preserve"> Para que el Convenio de Pago tenga vigencia, deberá cancelarse la primera cuota, a la fecha de su firma, dentro del plazo del presente plan de regularización que se indica en el ARTÍCULO 1º.</w:t>
      </w:r>
      <w:r w:rsidRPr="00714B98">
        <w:rPr>
          <w:rFonts w:ascii="Arial" w:hAnsi="Arial" w:cs="Arial"/>
          <w:sz w:val="22"/>
          <w:szCs w:val="22"/>
        </w:rPr>
        <w:t xml:space="preserve"> </w:t>
      </w:r>
    </w:p>
    <w:p w:rsidR="007811C0" w:rsidRPr="00714B98" w:rsidRDefault="007811C0" w:rsidP="008D5167">
      <w:pPr>
        <w:pStyle w:val="Textoindependiente"/>
        <w:spacing w:after="0"/>
        <w:ind w:left="528"/>
        <w:jc w:val="both"/>
        <w:rPr>
          <w:rFonts w:ascii="Arial" w:hAnsi="Arial" w:cs="Arial"/>
          <w:sz w:val="22"/>
          <w:szCs w:val="22"/>
        </w:rPr>
      </w:pPr>
      <w:r w:rsidRPr="00714B98">
        <w:rPr>
          <w:rFonts w:ascii="Arial" w:hAnsi="Arial" w:cs="Arial"/>
          <w:sz w:val="22"/>
          <w:szCs w:val="22"/>
        </w:rPr>
        <w:t>A pedido de parte interesada se podrá optar por la regularización parcial, la cual no podrá ser inferior al cincuenta por ciento (50%) del total de la deuda. En los casos de regularización parcial de la deuda, deberá incluirse la obligación con vencimiento más antiguo. A la firma del Convenio por la deuda total ó parcial, implica el reconocimiento de toda la deuda e interrumpe la prescripción del total de la misma.-</w:t>
      </w:r>
    </w:p>
    <w:p w:rsidR="007811C0" w:rsidRPr="00714B98" w:rsidRDefault="007811C0" w:rsidP="007811C0">
      <w:pPr>
        <w:pStyle w:val="Textoindependiente"/>
        <w:spacing w:after="0"/>
        <w:jc w:val="both"/>
        <w:rPr>
          <w:rFonts w:ascii="Arial" w:hAnsi="Arial" w:cs="Arial"/>
          <w:sz w:val="22"/>
          <w:szCs w:val="22"/>
        </w:rPr>
      </w:pPr>
    </w:p>
    <w:p w:rsidR="007811C0" w:rsidRPr="00714B98" w:rsidRDefault="007811C0" w:rsidP="008D5167">
      <w:pPr>
        <w:jc w:val="both"/>
        <w:rPr>
          <w:rFonts w:ascii="Arial" w:hAnsi="Arial" w:cs="Arial"/>
          <w:sz w:val="22"/>
          <w:szCs w:val="22"/>
        </w:rPr>
      </w:pPr>
      <w:r w:rsidRPr="00714B98">
        <w:rPr>
          <w:rFonts w:ascii="Arial" w:hAnsi="Arial" w:cs="Arial"/>
          <w:b/>
          <w:sz w:val="22"/>
          <w:szCs w:val="22"/>
          <w:u w:val="single"/>
        </w:rPr>
        <w:t>ARTICULO 3º:</w:t>
      </w:r>
      <w:r w:rsidRPr="00714B98">
        <w:rPr>
          <w:rFonts w:ascii="Arial" w:hAnsi="Arial" w:cs="Arial"/>
          <w:b/>
          <w:sz w:val="22"/>
          <w:szCs w:val="22"/>
        </w:rPr>
        <w:t xml:space="preserve"> </w:t>
      </w:r>
      <w:r w:rsidRPr="00714B98">
        <w:rPr>
          <w:rFonts w:ascii="Arial" w:hAnsi="Arial" w:cs="Arial"/>
          <w:sz w:val="22"/>
          <w:szCs w:val="22"/>
        </w:rPr>
        <w:t>Los contribuyentes y demás responsables que tengan deudas  fiscales en ejecución, como  así  también deudas que se encuentren en curso de discusión judicial, podrán acogerse al beneficio de esta Ordenanza. En todos los casos, se deberá abonar en un plazo no superior a sesenta (60) días corridos la totalidad de los gastos causídicos y honorarios devengados y allanarse y renunciar a partir de la firma del Convenio de pago toda acción o derecho relativo a la causa, en la que se deberá dictar, por el Juzgado interviniente y a pedido unilateral del Municipio, la correspondiente sentencia de trance y remate, si no existiere, reconociéndose el crédito ejecutado con más sus acreencias. Si el contribuyente acogido, diera causa para la caducidad del convenio conforme al artículo 6º de esta Ordenanza, el juicio de apremio deberá continuar con la etapa de ejecución de la respectiva sentencia.-</w:t>
      </w:r>
    </w:p>
    <w:p w:rsidR="007811C0" w:rsidRPr="00714B98" w:rsidRDefault="007811C0" w:rsidP="007811C0">
      <w:pPr>
        <w:pStyle w:val="Textoindependiente"/>
        <w:spacing w:after="0"/>
        <w:jc w:val="both"/>
        <w:rPr>
          <w:rFonts w:ascii="Arial" w:hAnsi="Arial" w:cs="Arial"/>
          <w:sz w:val="22"/>
          <w:szCs w:val="22"/>
        </w:rPr>
      </w:pPr>
    </w:p>
    <w:p w:rsidR="007811C0" w:rsidRPr="00714B98" w:rsidRDefault="00D365EE" w:rsidP="007811C0">
      <w:pPr>
        <w:tabs>
          <w:tab w:val="left" w:pos="1985"/>
        </w:tabs>
        <w:jc w:val="both"/>
        <w:rPr>
          <w:rFonts w:ascii="Arial" w:hAnsi="Arial" w:cs="Arial"/>
          <w:sz w:val="22"/>
          <w:szCs w:val="22"/>
        </w:rPr>
      </w:pPr>
      <w:r w:rsidRPr="00714B98">
        <w:rPr>
          <w:rFonts w:ascii="Arial" w:hAnsi="Arial" w:cs="Arial"/>
          <w:b/>
          <w:sz w:val="22"/>
          <w:szCs w:val="22"/>
          <w:u w:val="single"/>
        </w:rPr>
        <w:t>ARTÍCULO</w:t>
      </w:r>
      <w:r w:rsidR="007811C0" w:rsidRPr="00714B98">
        <w:rPr>
          <w:rFonts w:ascii="Arial" w:hAnsi="Arial" w:cs="Arial"/>
          <w:b/>
          <w:sz w:val="22"/>
          <w:szCs w:val="22"/>
          <w:u w:val="single"/>
        </w:rPr>
        <w:t xml:space="preserve"> 4º</w:t>
      </w:r>
      <w:r w:rsidR="007811C0" w:rsidRPr="00714B98">
        <w:rPr>
          <w:rFonts w:ascii="Arial" w:hAnsi="Arial" w:cs="Arial"/>
          <w:sz w:val="22"/>
          <w:szCs w:val="22"/>
        </w:rPr>
        <w:t>: En los casos de obligaciones fiscales cuya discusión judicial haya  concluido con sentencia, los contribuyentes podrán acogerse a los beneficios del presente régimen, acreditando previamente haber  abonado los costos del juicio y los honorarios devengados.-</w:t>
      </w:r>
    </w:p>
    <w:p w:rsidR="007811C0" w:rsidRPr="00714B98" w:rsidRDefault="007811C0" w:rsidP="007811C0">
      <w:pPr>
        <w:tabs>
          <w:tab w:val="left" w:pos="1985"/>
        </w:tabs>
        <w:jc w:val="both"/>
        <w:rPr>
          <w:rFonts w:ascii="Arial" w:hAnsi="Arial" w:cs="Arial"/>
          <w:b/>
          <w:sz w:val="22"/>
          <w:szCs w:val="22"/>
          <w:u w:val="single"/>
        </w:rPr>
      </w:pPr>
    </w:p>
    <w:p w:rsidR="007811C0" w:rsidRPr="00714B98" w:rsidRDefault="007811C0" w:rsidP="007811C0">
      <w:pPr>
        <w:pStyle w:val="Textoindependiente"/>
        <w:spacing w:after="0"/>
        <w:jc w:val="both"/>
        <w:rPr>
          <w:rFonts w:ascii="Arial" w:hAnsi="Arial" w:cs="Arial"/>
          <w:sz w:val="22"/>
          <w:szCs w:val="22"/>
        </w:rPr>
      </w:pPr>
      <w:r w:rsidRPr="00714B98">
        <w:rPr>
          <w:rFonts w:ascii="Arial" w:hAnsi="Arial" w:cs="Arial"/>
          <w:b/>
          <w:sz w:val="22"/>
          <w:szCs w:val="22"/>
          <w:u w:val="single"/>
        </w:rPr>
        <w:t>ARTICULO 5º:</w:t>
      </w:r>
      <w:r w:rsidRPr="00714B98">
        <w:rPr>
          <w:rFonts w:ascii="Arial" w:hAnsi="Arial" w:cs="Arial"/>
          <w:sz w:val="22"/>
          <w:szCs w:val="22"/>
        </w:rPr>
        <w:t xml:space="preserve"> </w:t>
      </w:r>
      <w:r w:rsidRPr="00714B98">
        <w:rPr>
          <w:rFonts w:ascii="Arial" w:hAnsi="Arial" w:cs="Arial"/>
          <w:b/>
          <w:sz w:val="22"/>
          <w:szCs w:val="22"/>
          <w:u w:val="single"/>
        </w:rPr>
        <w:t>CADUCIDAD.</w:t>
      </w:r>
      <w:r w:rsidRPr="00714B98">
        <w:rPr>
          <w:rFonts w:ascii="Arial" w:hAnsi="Arial" w:cs="Arial"/>
          <w:sz w:val="22"/>
          <w:szCs w:val="22"/>
        </w:rPr>
        <w:t xml:space="preserve"> Será causal de la caducidad del Convenio de pago, la falta total o parcial de pago en un plazo máximo de 15 días corridos, de producido el vencimiento de una (1) cuota impaga. La caducidad será de pleno derecho, sin necesidad de interpelación alguna, quedando los responsables obligados por el importe total del saldo adeudado, sin el beneficio previsto en esta Ordenanza. En tales casos, a la deuda resultante le será de aplicación el régimen de accesorio por mora en el pago de obligaciones fiscales en vigencia, a partir de la fecha de vencimiento y hasta la fecha del efectivo pago.-</w:t>
      </w:r>
    </w:p>
    <w:p w:rsidR="007811C0" w:rsidRPr="00714B98" w:rsidRDefault="007811C0" w:rsidP="007811C0">
      <w:pPr>
        <w:pStyle w:val="Textoindependiente"/>
        <w:spacing w:after="0"/>
        <w:jc w:val="both"/>
        <w:rPr>
          <w:rFonts w:ascii="Arial" w:hAnsi="Arial" w:cs="Arial"/>
          <w:sz w:val="22"/>
          <w:szCs w:val="22"/>
        </w:rPr>
      </w:pPr>
    </w:p>
    <w:p w:rsidR="007811C0" w:rsidRPr="00714B98" w:rsidRDefault="007811C0" w:rsidP="007811C0">
      <w:pPr>
        <w:jc w:val="both"/>
        <w:rPr>
          <w:rFonts w:ascii="Arial" w:hAnsi="Arial" w:cs="Arial"/>
          <w:sz w:val="22"/>
          <w:szCs w:val="22"/>
        </w:rPr>
      </w:pPr>
      <w:r w:rsidRPr="00714B98">
        <w:rPr>
          <w:rFonts w:ascii="Arial" w:hAnsi="Arial" w:cs="Arial"/>
          <w:b/>
          <w:sz w:val="22"/>
          <w:szCs w:val="22"/>
          <w:u w:val="single"/>
        </w:rPr>
        <w:t>ARTICULO 6º:</w:t>
      </w:r>
      <w:r w:rsidRPr="00714B98">
        <w:rPr>
          <w:rFonts w:ascii="Arial" w:hAnsi="Arial" w:cs="Arial"/>
          <w:sz w:val="22"/>
          <w:szCs w:val="22"/>
        </w:rPr>
        <w:t xml:space="preserve"> </w:t>
      </w:r>
      <w:r w:rsidRPr="00714B98">
        <w:rPr>
          <w:rFonts w:ascii="Arial" w:hAnsi="Arial" w:cs="Arial"/>
          <w:b/>
          <w:sz w:val="22"/>
          <w:szCs w:val="22"/>
          <w:u w:val="single"/>
        </w:rPr>
        <w:t>REHABILITACION DE PLANES CADUCOS;</w:t>
      </w:r>
      <w:r w:rsidRPr="00714B98">
        <w:rPr>
          <w:rFonts w:ascii="Arial" w:hAnsi="Arial" w:cs="Arial"/>
          <w:sz w:val="22"/>
          <w:szCs w:val="22"/>
        </w:rPr>
        <w:t xml:space="preserve"> Los contribuyentes cuyos planes de cancelación de deudas en cuotas, otorgados al amparo de Regímenes de Regularización, dispuestos por Ordenanzas anteriores, hubiesen caducado, podrán solicitar ante el Departamento Ejecutivo, su reingreso al régimen.</w:t>
      </w:r>
    </w:p>
    <w:p w:rsidR="007811C0" w:rsidRPr="00714B98" w:rsidRDefault="007811C0" w:rsidP="007811C0">
      <w:pPr>
        <w:jc w:val="both"/>
        <w:rPr>
          <w:rFonts w:ascii="Arial" w:hAnsi="Arial" w:cs="Arial"/>
          <w:sz w:val="22"/>
          <w:szCs w:val="22"/>
        </w:rPr>
      </w:pPr>
      <w:r w:rsidRPr="00714B98">
        <w:rPr>
          <w:rFonts w:ascii="Arial" w:hAnsi="Arial" w:cs="Arial"/>
          <w:sz w:val="22"/>
          <w:szCs w:val="22"/>
        </w:rPr>
        <w:t>A efectos de obtener la rehabilitación, dichos contribuyentes deberán observar el procedimiento que se dispone a continuación:</w:t>
      </w:r>
    </w:p>
    <w:p w:rsidR="007811C0" w:rsidRPr="00714B98" w:rsidRDefault="007811C0" w:rsidP="007811C0">
      <w:pPr>
        <w:jc w:val="both"/>
        <w:rPr>
          <w:rFonts w:ascii="Arial" w:hAnsi="Arial" w:cs="Arial"/>
          <w:sz w:val="22"/>
          <w:szCs w:val="22"/>
        </w:rPr>
      </w:pPr>
      <w:r w:rsidRPr="00714B98">
        <w:rPr>
          <w:rFonts w:ascii="Arial" w:hAnsi="Arial" w:cs="Arial"/>
          <w:b/>
          <w:sz w:val="22"/>
          <w:szCs w:val="22"/>
        </w:rPr>
        <w:t xml:space="preserve">a) </w:t>
      </w:r>
      <w:r w:rsidRPr="00714B98">
        <w:rPr>
          <w:rFonts w:ascii="Arial" w:hAnsi="Arial" w:cs="Arial"/>
          <w:sz w:val="22"/>
          <w:szCs w:val="22"/>
        </w:rPr>
        <w:t xml:space="preserve"> Presentar, en el período de vigencia del Régimen de Regularización que se establece por la presente Ordenanza, la petición del reingreso al régimen de facilidades de pago que hubiese caducado.</w:t>
      </w:r>
    </w:p>
    <w:p w:rsidR="007811C0" w:rsidRPr="00714B98" w:rsidRDefault="007811C0" w:rsidP="007811C0">
      <w:pPr>
        <w:jc w:val="both"/>
        <w:rPr>
          <w:rFonts w:ascii="Arial" w:hAnsi="Arial" w:cs="Arial"/>
          <w:sz w:val="22"/>
          <w:szCs w:val="22"/>
        </w:rPr>
      </w:pPr>
      <w:r w:rsidRPr="00714B98">
        <w:rPr>
          <w:rFonts w:ascii="Arial" w:hAnsi="Arial" w:cs="Arial"/>
          <w:b/>
          <w:sz w:val="22"/>
          <w:szCs w:val="22"/>
        </w:rPr>
        <w:t>b)</w:t>
      </w:r>
      <w:r w:rsidRPr="00714B98">
        <w:rPr>
          <w:rFonts w:ascii="Arial" w:hAnsi="Arial" w:cs="Arial"/>
          <w:sz w:val="22"/>
          <w:szCs w:val="22"/>
        </w:rPr>
        <w:t xml:space="preserve"> Las cuotas no abonadas hasta la fecha de presentación del pedido de reincorporación podrán ser regularizadas mediante el pago al contado o hasta en tres cuotas con los intereses previstos en el ARTÍCULO 3º de la presente norma.</w:t>
      </w:r>
    </w:p>
    <w:p w:rsidR="007811C0" w:rsidRPr="00714B98" w:rsidRDefault="007811C0" w:rsidP="007811C0">
      <w:pPr>
        <w:jc w:val="both"/>
        <w:rPr>
          <w:rFonts w:ascii="Arial" w:hAnsi="Arial" w:cs="Arial"/>
          <w:sz w:val="22"/>
          <w:szCs w:val="22"/>
        </w:rPr>
      </w:pPr>
      <w:r w:rsidRPr="00714B98">
        <w:rPr>
          <w:rFonts w:ascii="Arial" w:hAnsi="Arial" w:cs="Arial"/>
          <w:sz w:val="22"/>
          <w:szCs w:val="22"/>
        </w:rPr>
        <w:t>Los convenios que ya hubieran sido refinanciados en (3) tres cuotas, no serán factibles de nueva refinanciación.</w:t>
      </w:r>
      <w:r w:rsidR="008D5167" w:rsidRPr="00714B98">
        <w:rPr>
          <w:rFonts w:ascii="Arial" w:hAnsi="Arial" w:cs="Arial"/>
          <w:sz w:val="22"/>
          <w:szCs w:val="22"/>
        </w:rPr>
        <w:t>-</w:t>
      </w:r>
    </w:p>
    <w:p w:rsidR="008D5167" w:rsidRPr="00714B98" w:rsidRDefault="008D5167" w:rsidP="007811C0">
      <w:pPr>
        <w:jc w:val="both"/>
        <w:rPr>
          <w:rFonts w:ascii="Arial" w:hAnsi="Arial" w:cs="Arial"/>
          <w:sz w:val="22"/>
          <w:szCs w:val="22"/>
        </w:rPr>
      </w:pPr>
    </w:p>
    <w:p w:rsidR="007811C0" w:rsidRPr="00714B98" w:rsidRDefault="007811C0" w:rsidP="007811C0">
      <w:pPr>
        <w:jc w:val="both"/>
        <w:rPr>
          <w:rFonts w:ascii="Arial" w:hAnsi="Arial" w:cs="Arial"/>
          <w:sz w:val="22"/>
          <w:szCs w:val="22"/>
        </w:rPr>
      </w:pPr>
      <w:r w:rsidRPr="00714B98">
        <w:rPr>
          <w:rFonts w:ascii="Arial" w:hAnsi="Arial" w:cs="Arial"/>
          <w:b/>
          <w:sz w:val="22"/>
          <w:szCs w:val="22"/>
          <w:u w:val="single"/>
        </w:rPr>
        <w:t>ARTICULO 7º:</w:t>
      </w:r>
      <w:r w:rsidRPr="00714B98">
        <w:rPr>
          <w:rFonts w:ascii="Arial" w:hAnsi="Arial" w:cs="Arial"/>
          <w:sz w:val="22"/>
          <w:szCs w:val="22"/>
        </w:rPr>
        <w:t xml:space="preserve"> </w:t>
      </w:r>
      <w:r w:rsidRPr="00714B98">
        <w:rPr>
          <w:rFonts w:ascii="Arial" w:hAnsi="Arial" w:cs="Arial"/>
          <w:b/>
          <w:sz w:val="22"/>
          <w:szCs w:val="22"/>
          <w:u w:val="single"/>
        </w:rPr>
        <w:t>CONVENIOS DE PAGO EN VIGENCIA O CADUCOS QUE SE OPTE POR SU CANCELACION AL CONTADO O EN HASTA TRES CUOTAS:</w:t>
      </w:r>
      <w:r w:rsidRPr="00714B98">
        <w:rPr>
          <w:rFonts w:ascii="Arial" w:hAnsi="Arial" w:cs="Arial"/>
          <w:b/>
          <w:sz w:val="22"/>
          <w:szCs w:val="22"/>
        </w:rPr>
        <w:t xml:space="preserve"> </w:t>
      </w:r>
      <w:r w:rsidRPr="00714B98">
        <w:rPr>
          <w:rFonts w:ascii="Arial" w:hAnsi="Arial" w:cs="Arial"/>
          <w:sz w:val="22"/>
          <w:szCs w:val="22"/>
        </w:rPr>
        <w:t xml:space="preserve"> </w:t>
      </w:r>
    </w:p>
    <w:p w:rsidR="007811C0" w:rsidRPr="00714B98" w:rsidRDefault="007811C0" w:rsidP="007811C0">
      <w:pPr>
        <w:jc w:val="both"/>
        <w:rPr>
          <w:rFonts w:ascii="Arial" w:hAnsi="Arial" w:cs="Arial"/>
          <w:sz w:val="22"/>
          <w:szCs w:val="22"/>
        </w:rPr>
      </w:pPr>
      <w:r w:rsidRPr="00714B98">
        <w:rPr>
          <w:rFonts w:ascii="Arial" w:hAnsi="Arial" w:cs="Arial"/>
          <w:sz w:val="22"/>
          <w:szCs w:val="22"/>
        </w:rPr>
        <w:t>Si cancela al contado, el importe a ingresar se determinará, a la fecha de presentación, partiendo del monto total consolidado menos intereses de financiamiento restando el capital amortizado en forma proporcional a la cantidad de cuotas abonadas, sobre el total de las mismas  prevista en el convenio originario, debiendo confeccionarse convenio de pago. En el caso de optar por tres cuotas mensuales, serán iguales y consecutivas, debiendo confeccionarse convenio de pago, e ingresar la primera cuota, a la fecha de su firma dentro del plazo previsto en el ARTÍCULO 1º de la presente Ordenanza.-</w:t>
      </w:r>
    </w:p>
    <w:p w:rsidR="007811C0" w:rsidRPr="00714B98" w:rsidRDefault="007811C0" w:rsidP="007811C0">
      <w:pPr>
        <w:jc w:val="both"/>
        <w:rPr>
          <w:rFonts w:ascii="Arial" w:hAnsi="Arial" w:cs="Arial"/>
          <w:b/>
          <w:sz w:val="22"/>
          <w:szCs w:val="22"/>
          <w:u w:val="single"/>
        </w:rPr>
      </w:pPr>
      <w:r w:rsidRPr="00714B98">
        <w:rPr>
          <w:rFonts w:ascii="Arial" w:hAnsi="Arial" w:cs="Arial"/>
          <w:b/>
          <w:sz w:val="22"/>
          <w:szCs w:val="22"/>
          <w:u w:val="single"/>
        </w:rPr>
        <w:t xml:space="preserve"> </w:t>
      </w:r>
    </w:p>
    <w:p w:rsidR="007811C0" w:rsidRPr="00714B98" w:rsidRDefault="007811C0" w:rsidP="007811C0">
      <w:pPr>
        <w:jc w:val="both"/>
        <w:rPr>
          <w:rFonts w:ascii="Arial" w:hAnsi="Arial" w:cs="Arial"/>
          <w:sz w:val="22"/>
          <w:szCs w:val="22"/>
        </w:rPr>
      </w:pPr>
      <w:r w:rsidRPr="00714B98">
        <w:rPr>
          <w:rFonts w:ascii="Arial" w:hAnsi="Arial" w:cs="Arial"/>
          <w:b/>
          <w:sz w:val="22"/>
          <w:szCs w:val="22"/>
          <w:u w:val="single"/>
        </w:rPr>
        <w:t>ARTICULO 8º:</w:t>
      </w:r>
      <w:r w:rsidRPr="00714B98">
        <w:rPr>
          <w:rFonts w:ascii="Arial" w:hAnsi="Arial" w:cs="Arial"/>
          <w:sz w:val="22"/>
          <w:szCs w:val="22"/>
        </w:rPr>
        <w:t xml:space="preserve"> </w:t>
      </w:r>
      <w:r w:rsidRPr="00714B98">
        <w:rPr>
          <w:rFonts w:ascii="Arial" w:hAnsi="Arial" w:cs="Arial"/>
          <w:b/>
          <w:sz w:val="22"/>
          <w:szCs w:val="22"/>
          <w:u w:val="single"/>
        </w:rPr>
        <w:t>IMPUESTO</w:t>
      </w:r>
      <w:r w:rsidRPr="00714B98">
        <w:rPr>
          <w:rFonts w:ascii="Arial" w:hAnsi="Arial" w:cs="Arial"/>
          <w:b/>
          <w:bCs/>
          <w:sz w:val="22"/>
          <w:szCs w:val="22"/>
          <w:u w:val="single"/>
        </w:rPr>
        <w:t xml:space="preserve"> A LOS AUTOMOTORES.</w:t>
      </w:r>
      <w:r w:rsidRPr="00714B98">
        <w:rPr>
          <w:rFonts w:ascii="Arial" w:hAnsi="Arial" w:cs="Arial"/>
          <w:sz w:val="22"/>
          <w:szCs w:val="22"/>
          <w:u w:val="single"/>
        </w:rPr>
        <w:t xml:space="preserve"> </w:t>
      </w:r>
      <w:r w:rsidRPr="00714B98">
        <w:rPr>
          <w:rFonts w:ascii="Arial" w:hAnsi="Arial" w:cs="Arial"/>
          <w:sz w:val="22"/>
          <w:szCs w:val="22"/>
        </w:rPr>
        <w:t xml:space="preserve"> El importe total a percibir,  incluyendo capital e intereses, no superará el (25%) veinticinco por ciento del valor fiscal fijado para el automotor por </w:t>
      </w:r>
      <w:smartTag w:uri="urn:schemas-microsoft-com:office:smarttags" w:element="PersonName">
        <w:smartTagPr>
          <w:attr w:name="ProductID" w:val="la Provincia"/>
        </w:smartTagPr>
        <w:r w:rsidRPr="00714B98">
          <w:rPr>
            <w:rFonts w:ascii="Arial" w:hAnsi="Arial" w:cs="Arial"/>
            <w:sz w:val="22"/>
            <w:szCs w:val="22"/>
          </w:rPr>
          <w:t>la Provincia</w:t>
        </w:r>
      </w:smartTag>
      <w:r w:rsidRPr="00714B98">
        <w:rPr>
          <w:rFonts w:ascii="Arial" w:hAnsi="Arial" w:cs="Arial"/>
          <w:sz w:val="22"/>
          <w:szCs w:val="22"/>
        </w:rPr>
        <w:t xml:space="preserve"> de Buenos Aires, en su defecto por el valor  asegurable según tablas oficiales vigentes y a falta de estas referencias, por el valor que establezca </w:t>
      </w:r>
      <w:smartTag w:uri="urn:schemas-microsoft-com:office:smarttags" w:element="PersonName">
        <w:smartTagPr>
          <w:attr w:name="ProductID" w:val="la Secretar￭a"/>
        </w:smartTagPr>
        <w:r w:rsidRPr="00714B98">
          <w:rPr>
            <w:rFonts w:ascii="Arial" w:hAnsi="Arial" w:cs="Arial"/>
            <w:sz w:val="22"/>
            <w:szCs w:val="22"/>
          </w:rPr>
          <w:t>la Secretaría</w:t>
        </w:r>
      </w:smartTag>
      <w:r w:rsidRPr="00714B98">
        <w:rPr>
          <w:rFonts w:ascii="Arial" w:hAnsi="Arial" w:cs="Arial"/>
          <w:sz w:val="22"/>
          <w:szCs w:val="22"/>
        </w:rPr>
        <w:t xml:space="preserve"> de Obras y Servicios Públicos de </w:t>
      </w:r>
      <w:smartTag w:uri="urn:schemas-microsoft-com:office:smarttags" w:element="PersonName">
        <w:smartTagPr>
          <w:attr w:name="ProductID" w:val="la Municipalidad.-"/>
        </w:smartTagPr>
        <w:r w:rsidRPr="00714B98">
          <w:rPr>
            <w:rFonts w:ascii="Arial" w:hAnsi="Arial" w:cs="Arial"/>
            <w:sz w:val="22"/>
            <w:szCs w:val="22"/>
          </w:rPr>
          <w:t>la Municipalidad.-</w:t>
        </w:r>
      </w:smartTag>
    </w:p>
    <w:p w:rsidR="007811C0" w:rsidRPr="00714B98" w:rsidRDefault="007811C0" w:rsidP="007811C0">
      <w:pPr>
        <w:jc w:val="both"/>
        <w:rPr>
          <w:rFonts w:ascii="Arial" w:hAnsi="Arial" w:cs="Arial"/>
          <w:b/>
          <w:sz w:val="22"/>
          <w:szCs w:val="22"/>
          <w:u w:val="single"/>
        </w:rPr>
      </w:pPr>
    </w:p>
    <w:p w:rsidR="007811C0" w:rsidRPr="00714B98" w:rsidRDefault="007811C0" w:rsidP="007811C0">
      <w:pPr>
        <w:jc w:val="both"/>
        <w:rPr>
          <w:rFonts w:ascii="Arial" w:hAnsi="Arial" w:cs="Arial"/>
          <w:sz w:val="22"/>
          <w:szCs w:val="22"/>
        </w:rPr>
      </w:pPr>
      <w:r w:rsidRPr="00714B98">
        <w:rPr>
          <w:rFonts w:ascii="Arial" w:hAnsi="Arial" w:cs="Arial"/>
          <w:b/>
          <w:sz w:val="22"/>
          <w:szCs w:val="22"/>
          <w:u w:val="single"/>
        </w:rPr>
        <w:t>ARTICULO 9º:</w:t>
      </w:r>
      <w:r w:rsidRPr="00714B98">
        <w:rPr>
          <w:rFonts w:ascii="Arial" w:hAnsi="Arial" w:cs="Arial"/>
          <w:sz w:val="22"/>
          <w:szCs w:val="22"/>
        </w:rPr>
        <w:t xml:space="preserve"> Se autoriza al Departamento Ejecutivo a prorrogar la vigencia de la  presente norma en el caso de que se considere necesario, siempre que la misma no exceda el presente ejercicio.-</w:t>
      </w:r>
    </w:p>
    <w:p w:rsidR="008730E9" w:rsidRPr="00714B98" w:rsidRDefault="008730E9" w:rsidP="007811C0">
      <w:pPr>
        <w:pStyle w:val="NormalWeb"/>
        <w:spacing w:before="0" w:beforeAutospacing="0" w:after="0" w:afterAutospacing="0"/>
        <w:jc w:val="both"/>
        <w:rPr>
          <w:rFonts w:ascii="Arial" w:hAnsi="Arial" w:cs="Arial"/>
          <w:sz w:val="22"/>
          <w:szCs w:val="22"/>
        </w:rPr>
      </w:pPr>
    </w:p>
    <w:p w:rsidR="005D61C9" w:rsidRPr="00714B98" w:rsidRDefault="000C1895" w:rsidP="008730E9">
      <w:pPr>
        <w:pStyle w:val="Default"/>
        <w:jc w:val="both"/>
        <w:rPr>
          <w:rFonts w:ascii="Arial" w:hAnsi="Arial" w:cs="Arial"/>
          <w:bCs/>
          <w:sz w:val="22"/>
          <w:szCs w:val="22"/>
        </w:rPr>
      </w:pPr>
      <w:r w:rsidRPr="00714B98">
        <w:rPr>
          <w:rFonts w:ascii="Arial" w:hAnsi="Arial" w:cs="Arial"/>
          <w:b/>
          <w:bCs/>
          <w:sz w:val="22"/>
          <w:szCs w:val="22"/>
          <w:u w:val="single"/>
        </w:rPr>
        <w:t>ARTÍCULO</w:t>
      </w:r>
      <w:r w:rsidR="008D5167" w:rsidRPr="00714B98">
        <w:rPr>
          <w:rFonts w:ascii="Arial" w:hAnsi="Arial" w:cs="Arial"/>
          <w:b/>
          <w:bCs/>
          <w:sz w:val="22"/>
          <w:szCs w:val="22"/>
          <w:u w:val="single"/>
        </w:rPr>
        <w:t xml:space="preserve"> 10</w:t>
      </w:r>
      <w:r w:rsidR="002F4D1D" w:rsidRPr="00714B98">
        <w:rPr>
          <w:rFonts w:ascii="Arial" w:hAnsi="Arial" w:cs="Arial"/>
          <w:b/>
          <w:bCs/>
          <w:sz w:val="22"/>
          <w:szCs w:val="22"/>
          <w:u w:val="single"/>
        </w:rPr>
        <w:t>º</w:t>
      </w:r>
      <w:r w:rsidR="00630BF8" w:rsidRPr="00714B98">
        <w:rPr>
          <w:rFonts w:ascii="Arial" w:hAnsi="Arial" w:cs="Arial"/>
          <w:b/>
          <w:bCs/>
          <w:sz w:val="22"/>
          <w:szCs w:val="22"/>
          <w:u w:val="single"/>
        </w:rPr>
        <w:t>:</w:t>
      </w:r>
      <w:r w:rsidR="00630BF8" w:rsidRPr="00714B98">
        <w:rPr>
          <w:rFonts w:ascii="Arial" w:hAnsi="Arial" w:cs="Arial"/>
          <w:sz w:val="22"/>
          <w:szCs w:val="22"/>
        </w:rPr>
        <w:t xml:space="preserve"> </w:t>
      </w:r>
      <w:r w:rsidR="005D61C9" w:rsidRPr="00714B98">
        <w:rPr>
          <w:rFonts w:ascii="Arial" w:hAnsi="Arial" w:cs="Arial"/>
          <w:bCs/>
          <w:sz w:val="22"/>
          <w:szCs w:val="22"/>
        </w:rPr>
        <w:t>Comuníquese, Publíquese, Regístrese y Cumplido: ARCHÍVESE.-</w:t>
      </w:r>
    </w:p>
    <w:p w:rsidR="005D61C9" w:rsidRPr="00714B98" w:rsidRDefault="005D61C9" w:rsidP="008730E9">
      <w:pPr>
        <w:pStyle w:val="NormalWeb"/>
        <w:spacing w:before="0" w:beforeAutospacing="0" w:after="0" w:afterAutospacing="0"/>
        <w:rPr>
          <w:rFonts w:ascii="Arial" w:hAnsi="Arial" w:cs="Arial"/>
          <w:b/>
          <w:bCs/>
          <w:sz w:val="22"/>
          <w:szCs w:val="22"/>
        </w:rPr>
      </w:pPr>
    </w:p>
    <w:p w:rsidR="005D61C9" w:rsidRPr="00D350A1" w:rsidRDefault="005D61C9" w:rsidP="005D61C9">
      <w:pPr>
        <w:pStyle w:val="NormalWeb"/>
        <w:spacing w:before="0" w:beforeAutospacing="0" w:after="0" w:afterAutospacing="0"/>
        <w:jc w:val="both"/>
        <w:rPr>
          <w:rFonts w:ascii="Arial" w:hAnsi="Arial" w:cs="Arial"/>
          <w:b/>
          <w:bCs/>
        </w:rPr>
      </w:pPr>
      <w:r w:rsidRPr="00D350A1">
        <w:rPr>
          <w:rFonts w:ascii="Arial" w:hAnsi="Arial" w:cs="Arial"/>
          <w:b/>
          <w:bCs/>
        </w:rPr>
        <w:t xml:space="preserve">APROBADO POR </w:t>
      </w:r>
      <w:r w:rsidR="00E61765" w:rsidRPr="00D350A1">
        <w:rPr>
          <w:rFonts w:ascii="Arial" w:hAnsi="Arial" w:cs="Arial"/>
          <w:b/>
          <w:bCs/>
        </w:rPr>
        <w:t>UNANIMIDAD</w:t>
      </w:r>
      <w:r w:rsidRPr="00D350A1">
        <w:rPr>
          <w:rFonts w:ascii="Arial" w:hAnsi="Arial" w:cs="Arial"/>
          <w:b/>
          <w:bCs/>
        </w:rPr>
        <w:t>, EN LA SALA DE SESIONES DEL H.C.D</w:t>
      </w:r>
      <w:r w:rsidR="003D5F87" w:rsidRPr="00D350A1">
        <w:rPr>
          <w:rFonts w:ascii="Arial" w:hAnsi="Arial" w:cs="Arial"/>
          <w:b/>
          <w:bCs/>
        </w:rPr>
        <w:t>.</w:t>
      </w:r>
      <w:r w:rsidRPr="00D350A1">
        <w:rPr>
          <w:rFonts w:ascii="Arial" w:hAnsi="Arial" w:cs="Arial"/>
          <w:b/>
          <w:bCs/>
        </w:rPr>
        <w:t xml:space="preserve"> DE TORNQUIST, A LOS </w:t>
      </w:r>
      <w:r w:rsidR="00F314F1">
        <w:rPr>
          <w:rFonts w:ascii="Arial" w:hAnsi="Arial" w:cs="Arial"/>
          <w:b/>
          <w:bCs/>
          <w:lang w:val="es-AR"/>
        </w:rPr>
        <w:t>UN</w:t>
      </w:r>
      <w:r w:rsidR="00375FB2" w:rsidRPr="00D350A1">
        <w:rPr>
          <w:rFonts w:ascii="Arial" w:hAnsi="Arial" w:cs="Arial"/>
          <w:b/>
          <w:bCs/>
          <w:lang w:val="es-AR"/>
        </w:rPr>
        <w:t xml:space="preserve"> </w:t>
      </w:r>
      <w:r w:rsidRPr="00D350A1">
        <w:rPr>
          <w:rFonts w:ascii="Arial" w:hAnsi="Arial" w:cs="Arial"/>
          <w:b/>
          <w:bCs/>
        </w:rPr>
        <w:t xml:space="preserve">DÍAS DEL MES DE </w:t>
      </w:r>
      <w:r w:rsidR="00F314F1">
        <w:rPr>
          <w:rFonts w:ascii="Arial" w:hAnsi="Arial" w:cs="Arial"/>
          <w:b/>
          <w:bCs/>
        </w:rPr>
        <w:t>JULIO</w:t>
      </w:r>
      <w:r w:rsidRPr="00D350A1">
        <w:rPr>
          <w:rFonts w:ascii="Arial" w:hAnsi="Arial" w:cs="Arial"/>
          <w:b/>
          <w:bCs/>
        </w:rPr>
        <w:t xml:space="preserve"> DEL AÑO DOS MIL VEINTE.-</w:t>
      </w:r>
    </w:p>
    <w:p w:rsidR="003F2C06" w:rsidRPr="00D350A1" w:rsidRDefault="003F2C06" w:rsidP="005D61C9">
      <w:pPr>
        <w:pStyle w:val="NormalWeb"/>
        <w:spacing w:before="0" w:beforeAutospacing="0" w:after="0" w:afterAutospacing="0"/>
        <w:jc w:val="both"/>
        <w:rPr>
          <w:rFonts w:ascii="Arial" w:hAnsi="Arial" w:cs="Arial"/>
          <w:b/>
          <w:bCs/>
        </w:rPr>
      </w:pPr>
    </w:p>
    <w:p w:rsidR="00553590" w:rsidRDefault="00553590" w:rsidP="005D61C9">
      <w:pPr>
        <w:pStyle w:val="NormalWeb"/>
        <w:spacing w:before="0" w:beforeAutospacing="0" w:after="0" w:afterAutospacing="0"/>
        <w:jc w:val="both"/>
        <w:rPr>
          <w:rFonts w:ascii="Arial" w:hAnsi="Arial" w:cs="Arial"/>
          <w:b/>
          <w:bCs/>
        </w:rPr>
      </w:pPr>
    </w:p>
    <w:p w:rsidR="000C0989" w:rsidRPr="00D350A1" w:rsidRDefault="000C0989" w:rsidP="005D61C9">
      <w:pPr>
        <w:pStyle w:val="NormalWeb"/>
        <w:spacing w:before="0" w:beforeAutospacing="0" w:after="0" w:afterAutospacing="0"/>
        <w:jc w:val="both"/>
        <w:rPr>
          <w:rFonts w:ascii="Arial" w:hAnsi="Arial" w:cs="Arial"/>
          <w:b/>
          <w:bCs/>
        </w:rPr>
      </w:pPr>
    </w:p>
    <w:p w:rsidR="00D234C4" w:rsidRPr="00940F9E" w:rsidRDefault="00D234C4" w:rsidP="00D234C4">
      <w:pPr>
        <w:jc w:val="both"/>
        <w:rPr>
          <w:rFonts w:ascii="Arial" w:hAnsi="Arial" w:cs="Arial"/>
          <w:b/>
          <w:bCs/>
        </w:rPr>
      </w:pPr>
    </w:p>
    <w:p w:rsidR="00BA5925" w:rsidRDefault="00BA5925" w:rsidP="00BA5925">
      <w:pPr>
        <w:pStyle w:val="NormalWeb"/>
        <w:spacing w:before="0" w:beforeAutospacing="0" w:after="0" w:afterAutospacing="0"/>
        <w:jc w:val="center"/>
        <w:rPr>
          <w:rFonts w:ascii="Arial" w:hAnsi="Arial" w:cs="Arial"/>
          <w:b/>
          <w:spacing w:val="8"/>
          <w:lang w:val="es-AR"/>
        </w:rPr>
      </w:pPr>
      <w:r>
        <w:rPr>
          <w:rFonts w:ascii="Arial" w:hAnsi="Arial" w:cs="Arial"/>
          <w:b/>
          <w:spacing w:val="8"/>
        </w:rPr>
        <w:t>José M. Castro                                         Cristian Raising</w:t>
      </w:r>
    </w:p>
    <w:p w:rsidR="00BA5925" w:rsidRDefault="00BA5925" w:rsidP="00BA5925">
      <w:pPr>
        <w:pStyle w:val="NormalWeb"/>
        <w:spacing w:before="0" w:beforeAutospacing="0" w:after="0" w:afterAutospacing="0"/>
        <w:jc w:val="both"/>
        <w:rPr>
          <w:rFonts w:ascii="Arial" w:hAnsi="Arial" w:cs="Arial"/>
          <w:b/>
          <w:spacing w:val="8"/>
        </w:rPr>
      </w:pPr>
      <w:r>
        <w:rPr>
          <w:rFonts w:ascii="Arial" w:hAnsi="Arial" w:cs="Arial"/>
          <w:b/>
          <w:spacing w:val="8"/>
        </w:rPr>
        <w:t xml:space="preserve">               Secretario                                             Vicepresidente 1º</w:t>
      </w:r>
    </w:p>
    <w:p w:rsidR="00BA5925" w:rsidRDefault="00BA5925" w:rsidP="00BA5925">
      <w:pPr>
        <w:pStyle w:val="NormalWeb"/>
        <w:spacing w:before="0" w:beforeAutospacing="0" w:after="0" w:afterAutospacing="0"/>
        <w:jc w:val="both"/>
        <w:rPr>
          <w:rFonts w:ascii="Arial" w:hAnsi="Arial" w:cs="Arial"/>
          <w:b/>
          <w:spacing w:val="8"/>
        </w:rPr>
      </w:pPr>
      <w:r>
        <w:rPr>
          <w:rFonts w:ascii="Arial" w:hAnsi="Arial" w:cs="Arial"/>
          <w:b/>
          <w:spacing w:val="8"/>
        </w:rPr>
        <w:t xml:space="preserve">                   H.C.D.                                                     </w:t>
      </w:r>
      <w:r>
        <w:rPr>
          <w:rFonts w:ascii="Arial" w:hAnsi="Arial" w:cs="Arial"/>
          <w:b/>
          <w:spacing w:val="8"/>
          <w:lang w:val="es-AR"/>
        </w:rPr>
        <w:t xml:space="preserve">  </w:t>
      </w:r>
      <w:r>
        <w:rPr>
          <w:rFonts w:ascii="Arial" w:hAnsi="Arial" w:cs="Arial"/>
          <w:b/>
          <w:spacing w:val="8"/>
        </w:rPr>
        <w:t xml:space="preserve"> H.C.D.</w:t>
      </w:r>
    </w:p>
    <w:p w:rsidR="005D61C9" w:rsidRPr="00D234C4" w:rsidRDefault="005D61C9" w:rsidP="005D61C9">
      <w:pPr>
        <w:pStyle w:val="NormalWeb"/>
        <w:spacing w:before="0" w:beforeAutospacing="0" w:after="0" w:afterAutospacing="0"/>
        <w:jc w:val="both"/>
        <w:rPr>
          <w:rFonts w:ascii="Arial" w:hAnsi="Arial" w:cs="Arial"/>
          <w:b/>
          <w:bCs/>
          <w:lang w:val="en-US"/>
        </w:rPr>
      </w:pPr>
    </w:p>
    <w:sectPr w:rsidR="005D61C9" w:rsidRPr="00D234C4" w:rsidSect="00657AAA">
      <w:headerReference w:type="default" r:id="rId7"/>
      <w:pgSz w:w="12242" w:h="18722" w:code="281"/>
      <w:pgMar w:top="2268" w:right="1134" w:bottom="85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6AC1" w:rsidRDefault="00BB6AC1">
      <w:r>
        <w:separator/>
      </w:r>
    </w:p>
  </w:endnote>
  <w:endnote w:type="continuationSeparator" w:id="0">
    <w:p w:rsidR="00BB6AC1" w:rsidRDefault="00BB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6AC1" w:rsidRDefault="00BB6AC1">
      <w:r>
        <w:separator/>
      </w:r>
    </w:p>
  </w:footnote>
  <w:footnote w:type="continuationSeparator" w:id="0">
    <w:p w:rsidR="00BB6AC1" w:rsidRDefault="00BB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860035">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1"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72F46"/>
    <w:rsid w:val="00097ACF"/>
    <w:rsid w:val="00097F44"/>
    <w:rsid w:val="000C0989"/>
    <w:rsid w:val="000C1895"/>
    <w:rsid w:val="000C25C2"/>
    <w:rsid w:val="000C5E04"/>
    <w:rsid w:val="000E1B0F"/>
    <w:rsid w:val="000E69A4"/>
    <w:rsid w:val="000F369C"/>
    <w:rsid w:val="000F5E3D"/>
    <w:rsid w:val="00103295"/>
    <w:rsid w:val="001254DA"/>
    <w:rsid w:val="00132FF0"/>
    <w:rsid w:val="001502DD"/>
    <w:rsid w:val="001513E8"/>
    <w:rsid w:val="00154D9F"/>
    <w:rsid w:val="00187C34"/>
    <w:rsid w:val="001A362D"/>
    <w:rsid w:val="001B0A71"/>
    <w:rsid w:val="001D0B0B"/>
    <w:rsid w:val="001E372C"/>
    <w:rsid w:val="001F11BA"/>
    <w:rsid w:val="0020420E"/>
    <w:rsid w:val="00266D95"/>
    <w:rsid w:val="00276F48"/>
    <w:rsid w:val="00297E57"/>
    <w:rsid w:val="002B31A1"/>
    <w:rsid w:val="002C54A4"/>
    <w:rsid w:val="002D157D"/>
    <w:rsid w:val="002F4D1D"/>
    <w:rsid w:val="00300128"/>
    <w:rsid w:val="00302BBF"/>
    <w:rsid w:val="00323D53"/>
    <w:rsid w:val="00323DAD"/>
    <w:rsid w:val="00350767"/>
    <w:rsid w:val="00364100"/>
    <w:rsid w:val="0037098D"/>
    <w:rsid w:val="00375FB2"/>
    <w:rsid w:val="00393EAE"/>
    <w:rsid w:val="00396BF4"/>
    <w:rsid w:val="003D5F87"/>
    <w:rsid w:val="003E55F7"/>
    <w:rsid w:val="003E63E5"/>
    <w:rsid w:val="003F2C06"/>
    <w:rsid w:val="00406214"/>
    <w:rsid w:val="00425C3B"/>
    <w:rsid w:val="004278C0"/>
    <w:rsid w:val="004308D9"/>
    <w:rsid w:val="00440F88"/>
    <w:rsid w:val="00441883"/>
    <w:rsid w:val="00482B2D"/>
    <w:rsid w:val="004B591C"/>
    <w:rsid w:val="004C2019"/>
    <w:rsid w:val="004C3CB9"/>
    <w:rsid w:val="004D3CE1"/>
    <w:rsid w:val="004E6CC5"/>
    <w:rsid w:val="004E7C87"/>
    <w:rsid w:val="005256FF"/>
    <w:rsid w:val="00553590"/>
    <w:rsid w:val="00572B2D"/>
    <w:rsid w:val="005804B6"/>
    <w:rsid w:val="00586253"/>
    <w:rsid w:val="00593DDA"/>
    <w:rsid w:val="00594DBB"/>
    <w:rsid w:val="005A098D"/>
    <w:rsid w:val="005C319C"/>
    <w:rsid w:val="005C586E"/>
    <w:rsid w:val="005D61C9"/>
    <w:rsid w:val="005E20DE"/>
    <w:rsid w:val="005F4CA9"/>
    <w:rsid w:val="00630BF8"/>
    <w:rsid w:val="00630EB3"/>
    <w:rsid w:val="00630FDA"/>
    <w:rsid w:val="00650634"/>
    <w:rsid w:val="0065069B"/>
    <w:rsid w:val="00657AAA"/>
    <w:rsid w:val="0066243B"/>
    <w:rsid w:val="00671ABF"/>
    <w:rsid w:val="00677778"/>
    <w:rsid w:val="00677DA8"/>
    <w:rsid w:val="006830CD"/>
    <w:rsid w:val="00695580"/>
    <w:rsid w:val="006C22E5"/>
    <w:rsid w:val="006E6038"/>
    <w:rsid w:val="0071111E"/>
    <w:rsid w:val="00714B98"/>
    <w:rsid w:val="00726C97"/>
    <w:rsid w:val="00727E01"/>
    <w:rsid w:val="00734C7D"/>
    <w:rsid w:val="00736AD5"/>
    <w:rsid w:val="007462D0"/>
    <w:rsid w:val="00746DCB"/>
    <w:rsid w:val="00756341"/>
    <w:rsid w:val="00760A0F"/>
    <w:rsid w:val="00772386"/>
    <w:rsid w:val="007811C0"/>
    <w:rsid w:val="00790166"/>
    <w:rsid w:val="007B078A"/>
    <w:rsid w:val="007C01BB"/>
    <w:rsid w:val="007D2808"/>
    <w:rsid w:val="007D6B51"/>
    <w:rsid w:val="00817A70"/>
    <w:rsid w:val="00826263"/>
    <w:rsid w:val="00835166"/>
    <w:rsid w:val="00846F0C"/>
    <w:rsid w:val="00860035"/>
    <w:rsid w:val="008730E9"/>
    <w:rsid w:val="00880C34"/>
    <w:rsid w:val="008947AC"/>
    <w:rsid w:val="008A1863"/>
    <w:rsid w:val="008A3229"/>
    <w:rsid w:val="008D5167"/>
    <w:rsid w:val="008E0817"/>
    <w:rsid w:val="00902D6F"/>
    <w:rsid w:val="00907CB7"/>
    <w:rsid w:val="0091530D"/>
    <w:rsid w:val="009177A7"/>
    <w:rsid w:val="009260E3"/>
    <w:rsid w:val="009B0AEA"/>
    <w:rsid w:val="009D3323"/>
    <w:rsid w:val="009E75D0"/>
    <w:rsid w:val="009F5884"/>
    <w:rsid w:val="00A139F7"/>
    <w:rsid w:val="00A25085"/>
    <w:rsid w:val="00A2775E"/>
    <w:rsid w:val="00A508D5"/>
    <w:rsid w:val="00A539AF"/>
    <w:rsid w:val="00A6292A"/>
    <w:rsid w:val="00A85F33"/>
    <w:rsid w:val="00A94764"/>
    <w:rsid w:val="00AA7865"/>
    <w:rsid w:val="00AB4C1C"/>
    <w:rsid w:val="00AE0FC0"/>
    <w:rsid w:val="00B11D5B"/>
    <w:rsid w:val="00B36BB8"/>
    <w:rsid w:val="00B4652D"/>
    <w:rsid w:val="00B545E6"/>
    <w:rsid w:val="00B61DB7"/>
    <w:rsid w:val="00B6776E"/>
    <w:rsid w:val="00B7579B"/>
    <w:rsid w:val="00B96018"/>
    <w:rsid w:val="00BA5925"/>
    <w:rsid w:val="00BB6AC1"/>
    <w:rsid w:val="00BB6E28"/>
    <w:rsid w:val="00BE1185"/>
    <w:rsid w:val="00C06D6B"/>
    <w:rsid w:val="00C11FF3"/>
    <w:rsid w:val="00C14246"/>
    <w:rsid w:val="00C31B33"/>
    <w:rsid w:val="00C36911"/>
    <w:rsid w:val="00C4309F"/>
    <w:rsid w:val="00C60600"/>
    <w:rsid w:val="00C91881"/>
    <w:rsid w:val="00CB7EB8"/>
    <w:rsid w:val="00D04298"/>
    <w:rsid w:val="00D06E4A"/>
    <w:rsid w:val="00D10CE9"/>
    <w:rsid w:val="00D234C4"/>
    <w:rsid w:val="00D350A1"/>
    <w:rsid w:val="00D365EE"/>
    <w:rsid w:val="00D4510B"/>
    <w:rsid w:val="00D81161"/>
    <w:rsid w:val="00DB035D"/>
    <w:rsid w:val="00DB5DB7"/>
    <w:rsid w:val="00DC5759"/>
    <w:rsid w:val="00DC79BE"/>
    <w:rsid w:val="00DE5698"/>
    <w:rsid w:val="00DF0719"/>
    <w:rsid w:val="00DF0C3F"/>
    <w:rsid w:val="00DF6121"/>
    <w:rsid w:val="00DF7DD2"/>
    <w:rsid w:val="00E35A8C"/>
    <w:rsid w:val="00E36D1D"/>
    <w:rsid w:val="00E61765"/>
    <w:rsid w:val="00E6482A"/>
    <w:rsid w:val="00E648DB"/>
    <w:rsid w:val="00E7141C"/>
    <w:rsid w:val="00E80FE7"/>
    <w:rsid w:val="00E832F5"/>
    <w:rsid w:val="00E84133"/>
    <w:rsid w:val="00E95E00"/>
    <w:rsid w:val="00EB1DAA"/>
    <w:rsid w:val="00EC362F"/>
    <w:rsid w:val="00EC5F93"/>
    <w:rsid w:val="00ED7AA6"/>
    <w:rsid w:val="00EE7FE4"/>
    <w:rsid w:val="00F00F3A"/>
    <w:rsid w:val="00F116EF"/>
    <w:rsid w:val="00F160F0"/>
    <w:rsid w:val="00F23B4E"/>
    <w:rsid w:val="00F277AC"/>
    <w:rsid w:val="00F278D1"/>
    <w:rsid w:val="00F314F1"/>
    <w:rsid w:val="00F3268A"/>
    <w:rsid w:val="00F43B13"/>
    <w:rsid w:val="00F53C6F"/>
    <w:rsid w:val="00F66FDF"/>
    <w:rsid w:val="00F935AA"/>
    <w:rsid w:val="00FA5971"/>
    <w:rsid w:val="00FC1660"/>
    <w:rsid w:val="00FC77D9"/>
    <w:rsid w:val="00FE49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87856BA8-A598-457F-A834-68721A8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1098</Words>
  <Characters>6040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6</cp:revision>
  <cp:lastPrinted>2020-07-01T15:24:00Z</cp:lastPrinted>
  <dcterms:created xsi:type="dcterms:W3CDTF">2021-05-10T18:07:00Z</dcterms:created>
  <dcterms:modified xsi:type="dcterms:W3CDTF">2021-05-10T18:07:00Z</dcterms:modified>
</cp:coreProperties>
</file>